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D76EC6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4A6338">
        <w:rPr>
          <w:sz w:val="30"/>
          <w:szCs w:val="30"/>
        </w:rPr>
        <w:t>10</w:t>
      </w:r>
      <w:r w:rsidR="00AB217F" w:rsidRPr="00E62745">
        <w:rPr>
          <w:sz w:val="30"/>
          <w:szCs w:val="30"/>
        </w:rPr>
        <w:t xml:space="preserve"> </w:t>
      </w:r>
      <w:r w:rsidR="00E413FC">
        <w:rPr>
          <w:sz w:val="30"/>
          <w:szCs w:val="30"/>
        </w:rPr>
        <w:t>ноября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EE5870" w:rsidP="000F2A76">
      <w:pPr>
        <w:ind w:left="34" w:firstLine="674"/>
        <w:jc w:val="both"/>
        <w:rPr>
          <w:sz w:val="30"/>
          <w:szCs w:val="30"/>
        </w:rPr>
      </w:pPr>
      <w:r w:rsidRPr="00EF30F4">
        <w:rPr>
          <w:b/>
          <w:sz w:val="30"/>
          <w:szCs w:val="30"/>
        </w:rPr>
        <w:t>Продавц</w:t>
      </w:r>
      <w:r>
        <w:rPr>
          <w:b/>
          <w:sz w:val="30"/>
          <w:szCs w:val="30"/>
        </w:rPr>
        <w:t>ы</w:t>
      </w:r>
      <w:r w:rsidRPr="00EF30F4">
        <w:rPr>
          <w:b/>
          <w:sz w:val="30"/>
          <w:szCs w:val="30"/>
        </w:rPr>
        <w:t xml:space="preserve"> 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>предмет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>ов</w:t>
      </w:r>
      <w:r w:rsidRPr="00EF30F4">
        <w:rPr>
          <w:rFonts w:ascii="Times New Roman CYR" w:hAnsi="Times New Roman CYR" w:cs="Times New Roman CYR"/>
          <w:b/>
          <w:sz w:val="30"/>
          <w:szCs w:val="30"/>
        </w:rPr>
        <w:t xml:space="preserve"> электронных торгов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: </w:t>
      </w:r>
      <w:r w:rsidR="00E413FC" w:rsidRPr="000E29F7">
        <w:rPr>
          <w:rFonts w:ascii="Times New Roman CYR" w:hAnsi="Times New Roman CYR" w:cs="Times New Roman CYR"/>
          <w:sz w:val="30"/>
          <w:szCs w:val="30"/>
        </w:rPr>
        <w:t>по лоту № 2</w:t>
      </w:r>
      <w:r w:rsidR="00E413FC">
        <w:rPr>
          <w:rFonts w:ascii="Times New Roman CYR" w:hAnsi="Times New Roman CYR" w:cs="Times New Roman CYR"/>
          <w:b/>
          <w:sz w:val="30"/>
          <w:szCs w:val="30"/>
        </w:rPr>
        <w:t xml:space="preserve"> </w:t>
      </w:r>
      <w:r w:rsidRPr="00BD6727">
        <w:rPr>
          <w:sz w:val="30"/>
          <w:szCs w:val="30"/>
        </w:rPr>
        <w:t xml:space="preserve">в отношении имущества – </w:t>
      </w:r>
      <w:r w:rsidR="007E721C">
        <w:rPr>
          <w:sz w:val="30"/>
          <w:szCs w:val="30"/>
        </w:rPr>
        <w:t>в</w:t>
      </w:r>
      <w:r w:rsidR="007E721C" w:rsidRPr="00B71AA2">
        <w:rPr>
          <w:sz w:val="30"/>
          <w:szCs w:val="30"/>
        </w:rPr>
        <w:t>етеринарно-санитарно</w:t>
      </w:r>
      <w:r w:rsidR="007E721C">
        <w:rPr>
          <w:sz w:val="30"/>
          <w:szCs w:val="30"/>
        </w:rPr>
        <w:t>е</w:t>
      </w:r>
      <w:r w:rsidR="007E721C" w:rsidRPr="00B71AA2">
        <w:rPr>
          <w:sz w:val="30"/>
          <w:szCs w:val="30"/>
        </w:rPr>
        <w:t xml:space="preserve"> учреждени</w:t>
      </w:r>
      <w:r w:rsidR="007E721C">
        <w:rPr>
          <w:sz w:val="30"/>
          <w:szCs w:val="30"/>
        </w:rPr>
        <w:t>е</w:t>
      </w:r>
      <w:r w:rsidR="007E721C" w:rsidRPr="00B71AA2">
        <w:rPr>
          <w:sz w:val="30"/>
          <w:szCs w:val="30"/>
        </w:rPr>
        <w:t xml:space="preserve"> «Могилевская районная ветеринарная станция»</w:t>
      </w:r>
      <w:r>
        <w:rPr>
          <w:sz w:val="30"/>
          <w:szCs w:val="30"/>
        </w:rPr>
        <w:t xml:space="preserve">, </w:t>
      </w:r>
      <w:r w:rsidRPr="004A6338">
        <w:rPr>
          <w:sz w:val="30"/>
          <w:szCs w:val="30"/>
        </w:rPr>
        <w:t>тел. 8(0222)</w:t>
      </w:r>
      <w:r w:rsidR="004A6338" w:rsidRPr="004A6338">
        <w:rPr>
          <w:sz w:val="30"/>
          <w:szCs w:val="30"/>
        </w:rPr>
        <w:t>726678</w:t>
      </w:r>
      <w:r w:rsidRPr="004A6338">
        <w:rPr>
          <w:sz w:val="30"/>
          <w:szCs w:val="30"/>
        </w:rPr>
        <w:t xml:space="preserve">, </w:t>
      </w:r>
      <w:r w:rsidR="004A6338" w:rsidRPr="004A6338">
        <w:rPr>
          <w:sz w:val="30"/>
          <w:szCs w:val="30"/>
        </w:rPr>
        <w:t>648031</w:t>
      </w:r>
      <w:r>
        <w:rPr>
          <w:sz w:val="30"/>
          <w:szCs w:val="30"/>
        </w:rPr>
        <w:t>; п</w:t>
      </w:r>
      <w:r w:rsidRPr="00754A7B">
        <w:rPr>
          <w:sz w:val="30"/>
          <w:szCs w:val="30"/>
        </w:rPr>
        <w:t>рав</w:t>
      </w:r>
      <w:r>
        <w:rPr>
          <w:sz w:val="30"/>
          <w:szCs w:val="30"/>
        </w:rPr>
        <w:t>а</w:t>
      </w:r>
      <w:r w:rsidRPr="00754A7B">
        <w:rPr>
          <w:sz w:val="30"/>
          <w:szCs w:val="30"/>
        </w:rPr>
        <w:t xml:space="preserve"> аренды земельн</w:t>
      </w:r>
      <w:r w:rsidR="007E721C">
        <w:rPr>
          <w:sz w:val="30"/>
          <w:szCs w:val="30"/>
        </w:rPr>
        <w:t>ого</w:t>
      </w:r>
      <w:r w:rsidRPr="00754A7B">
        <w:rPr>
          <w:sz w:val="30"/>
          <w:szCs w:val="30"/>
        </w:rPr>
        <w:t xml:space="preserve"> участк</w:t>
      </w:r>
      <w:r w:rsidR="007E721C">
        <w:rPr>
          <w:sz w:val="30"/>
          <w:szCs w:val="30"/>
        </w:rPr>
        <w:t>а</w:t>
      </w:r>
      <w:r>
        <w:rPr>
          <w:sz w:val="30"/>
          <w:szCs w:val="30"/>
        </w:rPr>
        <w:t xml:space="preserve"> – Могилевский городской исполнительный комитет, тел. 8(0222)</w:t>
      </w:r>
      <w:r w:rsidRPr="00D21521">
        <w:rPr>
          <w:sz w:val="30"/>
          <w:szCs w:val="30"/>
        </w:rPr>
        <w:t>422218</w:t>
      </w:r>
      <w:r w:rsidR="007E721C">
        <w:rPr>
          <w:sz w:val="30"/>
          <w:szCs w:val="30"/>
        </w:rPr>
        <w:t xml:space="preserve">; по лоту № 3 – </w:t>
      </w:r>
      <w:r w:rsidR="005F337C">
        <w:rPr>
          <w:sz w:val="30"/>
          <w:szCs w:val="30"/>
        </w:rPr>
        <w:t>о</w:t>
      </w:r>
      <w:r w:rsidR="005F337C" w:rsidRPr="005B53AD">
        <w:rPr>
          <w:sz w:val="30"/>
          <w:szCs w:val="30"/>
        </w:rPr>
        <w:t>тдел по образованию Могилевского районного исполнительного комитета</w:t>
      </w:r>
      <w:r w:rsidR="005F337C">
        <w:rPr>
          <w:sz w:val="30"/>
          <w:szCs w:val="30"/>
        </w:rPr>
        <w:t xml:space="preserve">, </w:t>
      </w:r>
      <w:r w:rsidR="005F337C" w:rsidRPr="004A6338">
        <w:rPr>
          <w:sz w:val="30"/>
          <w:szCs w:val="30"/>
        </w:rPr>
        <w:t>тел. 8(0222)</w:t>
      </w:r>
      <w:r w:rsidR="004A6338">
        <w:rPr>
          <w:sz w:val="30"/>
          <w:szCs w:val="30"/>
        </w:rPr>
        <w:t xml:space="preserve">745120, </w:t>
      </w:r>
      <w:r w:rsidR="00287FE8">
        <w:rPr>
          <w:sz w:val="30"/>
          <w:szCs w:val="30"/>
        </w:rPr>
        <w:t>+375</w:t>
      </w:r>
      <w:r w:rsidR="004A6338">
        <w:rPr>
          <w:sz w:val="30"/>
          <w:szCs w:val="30"/>
        </w:rPr>
        <w:t>(029)</w:t>
      </w:r>
      <w:r w:rsidR="00287FE8">
        <w:rPr>
          <w:sz w:val="30"/>
          <w:szCs w:val="30"/>
        </w:rPr>
        <w:t>3690273, +375</w:t>
      </w:r>
      <w:r w:rsidR="004A6338">
        <w:rPr>
          <w:sz w:val="30"/>
          <w:szCs w:val="30"/>
        </w:rPr>
        <w:t>(029)1223564</w:t>
      </w:r>
      <w:r w:rsidR="005F337C">
        <w:rPr>
          <w:sz w:val="30"/>
          <w:szCs w:val="30"/>
        </w:rPr>
        <w:t>.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1418"/>
        <w:gridCol w:w="1134"/>
        <w:gridCol w:w="992"/>
        <w:gridCol w:w="1559"/>
        <w:gridCol w:w="1418"/>
        <w:gridCol w:w="1133"/>
      </w:tblGrid>
      <w:tr w:rsidR="00E413FC" w:rsidRPr="00DB220E" w:rsidTr="00287FE8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№ лота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Информация о предметах электронных торгов</w:t>
            </w:r>
          </w:p>
        </w:tc>
      </w:tr>
      <w:tr w:rsidR="00E413FC" w:rsidRPr="00021AB3" w:rsidTr="00287FE8">
        <w:tblPrEx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3FC" w:rsidRPr="00205050" w:rsidRDefault="00E413FC" w:rsidP="00CC0813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</w:p>
        </w:tc>
        <w:tc>
          <w:tcPr>
            <w:tcW w:w="7797" w:type="dxa"/>
            <w:gridSpan w:val="2"/>
            <w:tcBorders>
              <w:left w:val="single" w:sz="4" w:space="0" w:color="auto"/>
            </w:tcBorders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Информация об имуществе</w:t>
            </w:r>
          </w:p>
        </w:tc>
        <w:tc>
          <w:tcPr>
            <w:tcW w:w="3685" w:type="dxa"/>
            <w:gridSpan w:val="3"/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Информация о земельных участках</w:t>
            </w:r>
          </w:p>
        </w:tc>
        <w:tc>
          <w:tcPr>
            <w:tcW w:w="1418" w:type="dxa"/>
            <w:vMerge w:val="restart"/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Начальная цена предметов</w:t>
            </w:r>
            <w:r w:rsidR="00205050">
              <w:rPr>
                <w:sz w:val="26"/>
                <w:szCs w:val="26"/>
              </w:rPr>
              <w:t xml:space="preserve"> торгов</w:t>
            </w:r>
            <w:r w:rsidRPr="00205050">
              <w:rPr>
                <w:sz w:val="26"/>
                <w:szCs w:val="26"/>
              </w:rPr>
              <w:t>, руб.</w:t>
            </w:r>
          </w:p>
        </w:tc>
        <w:tc>
          <w:tcPr>
            <w:tcW w:w="1133" w:type="dxa"/>
            <w:vMerge w:val="restart"/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Сумма задатка, руб.</w:t>
            </w:r>
          </w:p>
        </w:tc>
      </w:tr>
      <w:tr w:rsidR="00E413FC" w:rsidRPr="00DB220E" w:rsidTr="00287FE8">
        <w:tblPrEx>
          <w:tblLook w:val="01E0" w:firstRow="1" w:lastRow="1" w:firstColumn="1" w:lastColumn="1" w:noHBand="0" w:noVBand="0"/>
        </w:tblPrEx>
        <w:trPr>
          <w:cantSplit/>
          <w:trHeight w:val="8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3FC" w:rsidRPr="00205050" w:rsidRDefault="00E413FC" w:rsidP="00CC0813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13FC" w:rsidRPr="00205050" w:rsidRDefault="00E413FC" w:rsidP="00205050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Наименование, краткая</w:t>
            </w:r>
            <w:r w:rsidR="005F337C" w:rsidRPr="00205050">
              <w:rPr>
                <w:sz w:val="26"/>
                <w:szCs w:val="26"/>
              </w:rPr>
              <w:t xml:space="preserve"> характеристика, местонахождение</w:t>
            </w:r>
            <w:r w:rsidR="00205050">
              <w:rPr>
                <w:sz w:val="26"/>
                <w:szCs w:val="26"/>
              </w:rPr>
              <w:t xml:space="preserve"> имущества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 w:firstLine="34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Начальная цена,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Площадь, 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Срок аренды,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Начальная цена права аренды, руб.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205050">
            <w:pPr>
              <w:keepNext/>
              <w:tabs>
                <w:tab w:val="left" w:pos="6521"/>
              </w:tabs>
              <w:spacing w:line="240" w:lineRule="exact"/>
              <w:ind w:right="-29"/>
              <w:jc w:val="center"/>
              <w:rPr>
                <w:sz w:val="26"/>
                <w:szCs w:val="26"/>
              </w:rPr>
            </w:pPr>
          </w:p>
        </w:tc>
      </w:tr>
      <w:tr w:rsidR="00E413FC" w:rsidRPr="004A7C37" w:rsidTr="00287FE8">
        <w:tblPrEx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709" w:type="dxa"/>
          </w:tcPr>
          <w:p w:rsidR="00E413FC" w:rsidRPr="00205050" w:rsidRDefault="00E413FC" w:rsidP="00E413FC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413FC" w:rsidRPr="00205050" w:rsidRDefault="005F337C" w:rsidP="001A4571">
            <w:pPr>
              <w:tabs>
                <w:tab w:val="left" w:pos="6521"/>
              </w:tabs>
              <w:spacing w:line="240" w:lineRule="exact"/>
              <w:ind w:right="-28"/>
              <w:jc w:val="both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к</w:t>
            </w:r>
            <w:r w:rsidR="00E413FC" w:rsidRPr="00205050">
              <w:rPr>
                <w:sz w:val="26"/>
                <w:szCs w:val="26"/>
              </w:rPr>
              <w:t>апитальн</w:t>
            </w:r>
            <w:r w:rsidRPr="00205050">
              <w:rPr>
                <w:sz w:val="26"/>
                <w:szCs w:val="26"/>
              </w:rPr>
              <w:t xml:space="preserve">ые </w:t>
            </w:r>
            <w:r w:rsidR="00E413FC" w:rsidRPr="00205050">
              <w:rPr>
                <w:sz w:val="26"/>
                <w:szCs w:val="26"/>
              </w:rPr>
              <w:t>строени</w:t>
            </w:r>
            <w:r w:rsidRPr="00205050">
              <w:rPr>
                <w:sz w:val="26"/>
                <w:szCs w:val="26"/>
              </w:rPr>
              <w:t>я: одноэтажны</w:t>
            </w:r>
            <w:r w:rsidR="00E413FC" w:rsidRPr="00205050">
              <w:rPr>
                <w:sz w:val="26"/>
                <w:szCs w:val="26"/>
              </w:rPr>
              <w:t xml:space="preserve">е </w:t>
            </w:r>
            <w:r w:rsidRPr="00205050">
              <w:rPr>
                <w:sz w:val="26"/>
                <w:szCs w:val="26"/>
              </w:rPr>
              <w:t>кирпичные</w:t>
            </w:r>
            <w:r w:rsidR="00E413FC" w:rsidRPr="00205050">
              <w:rPr>
                <w:sz w:val="26"/>
                <w:szCs w:val="26"/>
              </w:rPr>
              <w:t xml:space="preserve"> здани</w:t>
            </w:r>
            <w:r w:rsidRPr="00205050">
              <w:rPr>
                <w:sz w:val="26"/>
                <w:szCs w:val="26"/>
              </w:rPr>
              <w:t>я</w:t>
            </w:r>
            <w:r w:rsidR="00E413FC" w:rsidRPr="00205050">
              <w:rPr>
                <w:sz w:val="26"/>
                <w:szCs w:val="26"/>
              </w:rPr>
              <w:t xml:space="preserve"> </w:t>
            </w:r>
            <w:r w:rsidR="007662DD" w:rsidRPr="00205050">
              <w:rPr>
                <w:sz w:val="26"/>
                <w:szCs w:val="26"/>
              </w:rPr>
              <w:t>склада</w:t>
            </w:r>
            <w:r w:rsidR="00E413FC" w:rsidRPr="00205050">
              <w:rPr>
                <w:sz w:val="26"/>
                <w:szCs w:val="26"/>
              </w:rPr>
              <w:t xml:space="preserve"> </w:t>
            </w:r>
            <w:r w:rsidR="007662DD" w:rsidRPr="00205050">
              <w:rPr>
                <w:sz w:val="26"/>
                <w:szCs w:val="26"/>
              </w:rPr>
              <w:t>22,8</w:t>
            </w:r>
            <w:r w:rsidR="00E413FC" w:rsidRPr="00205050">
              <w:rPr>
                <w:sz w:val="26"/>
                <w:szCs w:val="26"/>
              </w:rPr>
              <w:t xml:space="preserve"> </w:t>
            </w:r>
            <w:proofErr w:type="spellStart"/>
            <w:r w:rsidR="00E413FC" w:rsidRPr="00205050">
              <w:rPr>
                <w:sz w:val="26"/>
                <w:szCs w:val="26"/>
              </w:rPr>
              <w:t>кв.м</w:t>
            </w:r>
            <w:proofErr w:type="spellEnd"/>
            <w:r w:rsidR="007662DD" w:rsidRPr="00205050">
              <w:rPr>
                <w:sz w:val="26"/>
                <w:szCs w:val="26"/>
              </w:rPr>
              <w:t xml:space="preserve"> и гаража 84,5 </w:t>
            </w:r>
            <w:proofErr w:type="spellStart"/>
            <w:r w:rsidR="007662DD" w:rsidRPr="00205050">
              <w:rPr>
                <w:sz w:val="26"/>
                <w:szCs w:val="26"/>
              </w:rPr>
              <w:t>кв.м</w:t>
            </w:r>
            <w:proofErr w:type="spellEnd"/>
            <w:r w:rsidR="00FF02F5" w:rsidRPr="00205050">
              <w:rPr>
                <w:sz w:val="26"/>
                <w:szCs w:val="26"/>
              </w:rPr>
              <w:t xml:space="preserve">, </w:t>
            </w:r>
            <w:r w:rsidR="007662DD" w:rsidRPr="00205050">
              <w:rPr>
                <w:sz w:val="26"/>
                <w:szCs w:val="26"/>
              </w:rPr>
              <w:t>движимое</w:t>
            </w:r>
            <w:r w:rsidR="00E413FC" w:rsidRPr="00205050">
              <w:rPr>
                <w:sz w:val="26"/>
                <w:szCs w:val="26"/>
              </w:rPr>
              <w:t xml:space="preserve"> имущество – </w:t>
            </w:r>
            <w:r w:rsidR="00B00D0E" w:rsidRPr="00205050">
              <w:rPr>
                <w:sz w:val="26"/>
                <w:szCs w:val="26"/>
              </w:rPr>
              <w:t>счетчик электрический СЕ</w:t>
            </w:r>
            <w:r w:rsidR="00205050">
              <w:rPr>
                <w:sz w:val="26"/>
                <w:szCs w:val="26"/>
              </w:rPr>
              <w:t xml:space="preserve"> </w:t>
            </w:r>
            <w:r w:rsidR="00B00D0E" w:rsidRPr="00205050">
              <w:rPr>
                <w:sz w:val="26"/>
                <w:szCs w:val="26"/>
              </w:rPr>
              <w:t>301</w:t>
            </w:r>
            <w:r w:rsidR="00205050">
              <w:rPr>
                <w:sz w:val="26"/>
                <w:szCs w:val="26"/>
              </w:rPr>
              <w:t xml:space="preserve"> </w:t>
            </w:r>
            <w:r w:rsidR="00B00D0E" w:rsidRPr="00205050">
              <w:rPr>
                <w:sz w:val="26"/>
                <w:szCs w:val="26"/>
              </w:rPr>
              <w:t>ВY</w:t>
            </w:r>
            <w:r w:rsidR="00205050">
              <w:rPr>
                <w:sz w:val="26"/>
                <w:szCs w:val="26"/>
              </w:rPr>
              <w:t xml:space="preserve"> </w:t>
            </w:r>
            <w:r w:rsidR="00B00D0E" w:rsidRPr="00205050">
              <w:rPr>
                <w:sz w:val="26"/>
                <w:szCs w:val="26"/>
              </w:rPr>
              <w:t>R33</w:t>
            </w:r>
            <w:r w:rsidR="00205050">
              <w:rPr>
                <w:sz w:val="26"/>
                <w:szCs w:val="26"/>
              </w:rPr>
              <w:t xml:space="preserve"> </w:t>
            </w:r>
            <w:r w:rsidR="00B00D0E" w:rsidRPr="00205050">
              <w:rPr>
                <w:sz w:val="26"/>
                <w:szCs w:val="26"/>
              </w:rPr>
              <w:t>146</w:t>
            </w:r>
            <w:r w:rsidR="00205050">
              <w:rPr>
                <w:sz w:val="26"/>
                <w:szCs w:val="26"/>
              </w:rPr>
              <w:t xml:space="preserve"> </w:t>
            </w:r>
            <w:r w:rsidR="00B00D0E" w:rsidRPr="00205050">
              <w:rPr>
                <w:sz w:val="26"/>
                <w:szCs w:val="26"/>
              </w:rPr>
              <w:t xml:space="preserve">JAVZ </w:t>
            </w:r>
            <w:r w:rsidR="00E413FC" w:rsidRPr="00205050">
              <w:rPr>
                <w:sz w:val="26"/>
                <w:szCs w:val="26"/>
              </w:rPr>
              <w:t>по ул.</w:t>
            </w:r>
            <w:r w:rsidR="00205050">
              <w:rPr>
                <w:sz w:val="26"/>
                <w:szCs w:val="26"/>
              </w:rPr>
              <w:t xml:space="preserve"> </w:t>
            </w:r>
            <w:proofErr w:type="spellStart"/>
            <w:r w:rsidR="00B00D0E" w:rsidRPr="00205050">
              <w:rPr>
                <w:sz w:val="26"/>
                <w:szCs w:val="26"/>
              </w:rPr>
              <w:t>Шкловское</w:t>
            </w:r>
            <w:proofErr w:type="spellEnd"/>
            <w:r w:rsidR="00B00D0E" w:rsidRPr="00205050">
              <w:rPr>
                <w:sz w:val="26"/>
                <w:szCs w:val="26"/>
              </w:rPr>
              <w:t xml:space="preserve"> </w:t>
            </w:r>
            <w:r w:rsidR="001A4571">
              <w:rPr>
                <w:sz w:val="26"/>
                <w:szCs w:val="26"/>
              </w:rPr>
              <w:t>Ш</w:t>
            </w:r>
            <w:r w:rsidR="00B00D0E" w:rsidRPr="00205050">
              <w:rPr>
                <w:sz w:val="26"/>
                <w:szCs w:val="26"/>
              </w:rPr>
              <w:t xml:space="preserve">оссе, 15В </w:t>
            </w:r>
            <w:r w:rsidR="00E413FC" w:rsidRPr="00205050">
              <w:rPr>
                <w:sz w:val="26"/>
                <w:szCs w:val="26"/>
              </w:rPr>
              <w:t>в г. Могилеве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B00D0E" w:rsidP="00CC0813">
            <w:pPr>
              <w:tabs>
                <w:tab w:val="left" w:pos="6521"/>
              </w:tabs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205050">
              <w:rPr>
                <w:sz w:val="26"/>
                <w:szCs w:val="26"/>
              </w:rPr>
              <w:t>35 759,56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B00D0E" w:rsidP="00B00D0E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0,1794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E413FC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B00D0E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  <w:highlight w:val="yellow"/>
              </w:rPr>
            </w:pPr>
            <w:r w:rsidRPr="00205050">
              <w:rPr>
                <w:sz w:val="26"/>
                <w:szCs w:val="26"/>
              </w:rPr>
              <w:t>1 907,02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B00D0E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37 666,58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B00D0E" w:rsidP="00B00D0E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7 53</w:t>
            </w:r>
            <w:r w:rsidR="00E413FC" w:rsidRPr="00205050">
              <w:rPr>
                <w:sz w:val="26"/>
                <w:szCs w:val="26"/>
              </w:rPr>
              <w:t>0,00</w:t>
            </w:r>
          </w:p>
        </w:tc>
      </w:tr>
    </w:tbl>
    <w:p w:rsidR="00205050" w:rsidRDefault="00205050">
      <w:r>
        <w:br w:type="page"/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418"/>
        <w:gridCol w:w="1134"/>
        <w:gridCol w:w="992"/>
        <w:gridCol w:w="1559"/>
        <w:gridCol w:w="1276"/>
        <w:gridCol w:w="1275"/>
      </w:tblGrid>
      <w:tr w:rsidR="00E413FC" w:rsidRPr="004A7C37" w:rsidTr="00287FE8">
        <w:trPr>
          <w:trHeight w:val="600"/>
        </w:trPr>
        <w:tc>
          <w:tcPr>
            <w:tcW w:w="709" w:type="dxa"/>
          </w:tcPr>
          <w:p w:rsidR="00E413FC" w:rsidRPr="00205050" w:rsidRDefault="00E413FC" w:rsidP="00E413FC">
            <w:pPr>
              <w:tabs>
                <w:tab w:val="left" w:pos="6521"/>
              </w:tabs>
              <w:spacing w:line="240" w:lineRule="exact"/>
              <w:ind w:right="-28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6379" w:type="dxa"/>
            <w:shd w:val="clear" w:color="auto" w:fill="auto"/>
          </w:tcPr>
          <w:p w:rsidR="00E413FC" w:rsidRPr="00205050" w:rsidRDefault="00F0296A" w:rsidP="00205050">
            <w:pPr>
              <w:tabs>
                <w:tab w:val="left" w:pos="6521"/>
              </w:tabs>
              <w:spacing w:line="240" w:lineRule="exact"/>
              <w:ind w:right="-28"/>
              <w:jc w:val="both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 xml:space="preserve">капитальные строения: </w:t>
            </w:r>
            <w:r w:rsidR="000F2586" w:rsidRPr="00205050">
              <w:rPr>
                <w:sz w:val="26"/>
                <w:szCs w:val="26"/>
              </w:rPr>
              <w:t xml:space="preserve">двухэтажное кирпичное здание школы с подвалом 2 369,4 </w:t>
            </w:r>
            <w:proofErr w:type="spellStart"/>
            <w:r w:rsidR="000F2586" w:rsidRPr="00205050">
              <w:rPr>
                <w:sz w:val="26"/>
                <w:szCs w:val="26"/>
              </w:rPr>
              <w:t>кв.м</w:t>
            </w:r>
            <w:proofErr w:type="spellEnd"/>
            <w:r w:rsidR="008D6565" w:rsidRPr="00205050">
              <w:rPr>
                <w:sz w:val="26"/>
                <w:szCs w:val="26"/>
              </w:rPr>
              <w:t xml:space="preserve">, бетонным мощением 445,0 </w:t>
            </w:r>
            <w:proofErr w:type="spellStart"/>
            <w:r w:rsidR="008D6565" w:rsidRPr="00205050">
              <w:rPr>
                <w:sz w:val="26"/>
                <w:szCs w:val="26"/>
              </w:rPr>
              <w:t>кв.м</w:t>
            </w:r>
            <w:proofErr w:type="spellEnd"/>
            <w:r w:rsidR="008D6565" w:rsidRPr="00205050">
              <w:rPr>
                <w:sz w:val="26"/>
                <w:szCs w:val="26"/>
              </w:rPr>
              <w:t>; подземный наружный водопровод, состоящий из чугунного трубопровода 93,9 м, стального трубопровода 24,4 м,</w:t>
            </w:r>
            <w:r w:rsidR="000B70B7" w:rsidRPr="00205050">
              <w:rPr>
                <w:sz w:val="26"/>
                <w:szCs w:val="26"/>
              </w:rPr>
              <w:t xml:space="preserve"> </w:t>
            </w:r>
            <w:r w:rsidR="008D6565" w:rsidRPr="00205050">
              <w:rPr>
                <w:sz w:val="26"/>
                <w:szCs w:val="26"/>
              </w:rPr>
              <w:t xml:space="preserve">4 смотровых ж/б колодцев; подземные сети канализационные 719,6 м (асбестоцемент) с 20 ж/б колодцами по ул. Весенней, 9 в дер. Большие </w:t>
            </w:r>
            <w:proofErr w:type="spellStart"/>
            <w:r w:rsidR="008D6565" w:rsidRPr="00205050">
              <w:rPr>
                <w:sz w:val="26"/>
                <w:szCs w:val="26"/>
              </w:rPr>
              <w:t>Белевичи</w:t>
            </w:r>
            <w:proofErr w:type="spellEnd"/>
            <w:r w:rsidR="008D6565" w:rsidRPr="00205050">
              <w:rPr>
                <w:sz w:val="26"/>
                <w:szCs w:val="26"/>
              </w:rPr>
              <w:t xml:space="preserve"> </w:t>
            </w:r>
            <w:proofErr w:type="spellStart"/>
            <w:r w:rsidR="008D6565" w:rsidRPr="00205050">
              <w:rPr>
                <w:sz w:val="26"/>
                <w:szCs w:val="26"/>
              </w:rPr>
              <w:t>Семукачского</w:t>
            </w:r>
            <w:proofErr w:type="spellEnd"/>
            <w:r w:rsidR="008D6565" w:rsidRPr="00205050">
              <w:rPr>
                <w:sz w:val="26"/>
                <w:szCs w:val="26"/>
              </w:rPr>
              <w:t xml:space="preserve"> сельсовета Могилевского района Могилевской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689 630,00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2,9715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689 630,00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413FC" w:rsidRPr="00205050" w:rsidRDefault="000B70B7" w:rsidP="00CC0813">
            <w:pPr>
              <w:tabs>
                <w:tab w:val="left" w:pos="6521"/>
              </w:tabs>
              <w:spacing w:line="220" w:lineRule="exact"/>
              <w:ind w:right="-29"/>
              <w:jc w:val="center"/>
              <w:rPr>
                <w:sz w:val="26"/>
                <w:szCs w:val="26"/>
              </w:rPr>
            </w:pPr>
            <w:r w:rsidRPr="00205050">
              <w:rPr>
                <w:sz w:val="26"/>
                <w:szCs w:val="26"/>
              </w:rPr>
              <w:t>137 000,00</w:t>
            </w:r>
          </w:p>
        </w:tc>
      </w:tr>
    </w:tbl>
    <w:p w:rsidR="000B70B7" w:rsidRPr="004D20CF" w:rsidRDefault="000B70B7" w:rsidP="005C7E1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(здание школы)</w:t>
      </w:r>
      <w:r w:rsidR="005C7E18">
        <w:rPr>
          <w:sz w:val="30"/>
          <w:szCs w:val="30"/>
        </w:rPr>
        <w:t>, входящее в состав предмета электронных торгов лота № 3,</w:t>
      </w:r>
      <w:r>
        <w:rPr>
          <w:sz w:val="30"/>
          <w:szCs w:val="30"/>
        </w:rPr>
        <w:t xml:space="preserve"> отчуждается с проведением проверки характеристик (по ведомости технических характеристик на капитальное строение),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капитальное строение</w:t>
      </w:r>
      <w:r w:rsidR="000E29F7">
        <w:rPr>
          <w:sz w:val="30"/>
          <w:szCs w:val="30"/>
        </w:rPr>
        <w:t>. Ведомость выдана для оформления реконструкции здания школы и мощения</w:t>
      </w:r>
      <w:r>
        <w:rPr>
          <w:sz w:val="30"/>
          <w:szCs w:val="30"/>
        </w:rPr>
        <w:t>.</w:t>
      </w:r>
      <w:r w:rsidR="005C7E18"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</w:t>
      </w:r>
      <w:r>
        <w:rPr>
          <w:sz w:val="30"/>
          <w:szCs w:val="30"/>
        </w:rPr>
        <w:t>е</w:t>
      </w:r>
      <w:r w:rsidRPr="008A2643">
        <w:rPr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так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Могилевский </w:t>
      </w:r>
      <w:r w:rsidRPr="008A2643">
        <w:rPr>
          <w:sz w:val="30"/>
          <w:szCs w:val="30"/>
        </w:rPr>
        <w:t>районный исполнительный комитет</w:t>
      </w:r>
      <w:r>
        <w:rPr>
          <w:sz w:val="30"/>
          <w:szCs w:val="30"/>
        </w:rPr>
        <w:t xml:space="preserve"> </w:t>
      </w:r>
      <w:r w:rsidRPr="008A2643">
        <w:rPr>
          <w:sz w:val="30"/>
          <w:szCs w:val="30"/>
        </w:rPr>
        <w:t xml:space="preserve">за выдачей разрешительной документации на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0B70B7" w:rsidRDefault="000B70B7" w:rsidP="000B70B7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отношении земельн</w:t>
      </w:r>
      <w:r w:rsidR="00185054">
        <w:rPr>
          <w:sz w:val="30"/>
          <w:szCs w:val="30"/>
        </w:rPr>
        <w:t>ого</w:t>
      </w:r>
      <w:r w:rsidRPr="0005252C">
        <w:rPr>
          <w:sz w:val="30"/>
          <w:szCs w:val="30"/>
        </w:rPr>
        <w:t xml:space="preserve"> </w:t>
      </w:r>
      <w:r w:rsidRPr="00843AB0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843AB0">
        <w:rPr>
          <w:sz w:val="30"/>
          <w:szCs w:val="30"/>
        </w:rPr>
        <w:t xml:space="preserve"> </w:t>
      </w:r>
      <w:r w:rsidRPr="00843AB0">
        <w:rPr>
          <w:snapToGrid w:val="0"/>
          <w:sz w:val="30"/>
          <w:szCs w:val="30"/>
        </w:rPr>
        <w:t xml:space="preserve">для строительства и обслуживания зданий </w:t>
      </w:r>
      <w:r w:rsidR="00D67EB0">
        <w:rPr>
          <w:snapToGrid w:val="0"/>
          <w:sz w:val="30"/>
          <w:szCs w:val="30"/>
        </w:rPr>
        <w:t>гаража и склада (для размещения объектов иного назначения)</w:t>
      </w:r>
      <w:r w:rsidRPr="00843AB0">
        <w:rPr>
          <w:sz w:val="30"/>
          <w:szCs w:val="30"/>
        </w:rPr>
        <w:t>,</w:t>
      </w:r>
      <w:r w:rsidRPr="0005252C">
        <w:rPr>
          <w:sz w:val="30"/>
          <w:szCs w:val="30"/>
        </w:rPr>
        <w:t xml:space="preserve"> право аренды котор</w:t>
      </w:r>
      <w:r w:rsidR="00D67EB0">
        <w:rPr>
          <w:sz w:val="30"/>
          <w:szCs w:val="30"/>
        </w:rPr>
        <w:t>ого</w:t>
      </w:r>
      <w:r>
        <w:rPr>
          <w:sz w:val="30"/>
          <w:szCs w:val="30"/>
        </w:rPr>
        <w:t xml:space="preserve"> </w:t>
      </w:r>
      <w:r w:rsidRPr="0005252C">
        <w:rPr>
          <w:sz w:val="30"/>
          <w:szCs w:val="30"/>
        </w:rPr>
        <w:t xml:space="preserve">входит в состав </w:t>
      </w:r>
      <w:r>
        <w:rPr>
          <w:sz w:val="30"/>
          <w:szCs w:val="30"/>
        </w:rPr>
        <w:t>предмета электронных торгов</w:t>
      </w:r>
      <w:r w:rsidRPr="000B70B7">
        <w:rPr>
          <w:sz w:val="30"/>
          <w:szCs w:val="30"/>
        </w:rPr>
        <w:t xml:space="preserve"> </w:t>
      </w:r>
      <w:r>
        <w:rPr>
          <w:sz w:val="30"/>
          <w:szCs w:val="30"/>
        </w:rPr>
        <w:t>лот</w:t>
      </w:r>
      <w:r w:rsidR="005C7E18">
        <w:rPr>
          <w:sz w:val="30"/>
          <w:szCs w:val="30"/>
        </w:rPr>
        <w:t>а</w:t>
      </w:r>
      <w:r>
        <w:rPr>
          <w:sz w:val="30"/>
          <w:szCs w:val="30"/>
        </w:rPr>
        <w:t xml:space="preserve"> № 2</w:t>
      </w:r>
      <w:r w:rsidRPr="0005252C">
        <w:rPr>
          <w:sz w:val="30"/>
          <w:szCs w:val="30"/>
        </w:rPr>
        <w:t xml:space="preserve">, решением Могилевского </w:t>
      </w:r>
      <w:r w:rsidRPr="0005252C">
        <w:rPr>
          <w:snapToGrid w:val="0"/>
          <w:sz w:val="30"/>
          <w:szCs w:val="30"/>
          <w:shd w:val="clear" w:color="auto" w:fill="FFFFFF"/>
        </w:rPr>
        <w:t>городского исполнительного комитета</w:t>
      </w:r>
      <w:r w:rsidRPr="0005252C">
        <w:rPr>
          <w:sz w:val="30"/>
          <w:szCs w:val="30"/>
        </w:rPr>
        <w:t xml:space="preserve"> установлен</w:t>
      </w:r>
      <w:r>
        <w:rPr>
          <w:sz w:val="30"/>
          <w:szCs w:val="30"/>
        </w:rPr>
        <w:t>ы:</w:t>
      </w:r>
    </w:p>
    <w:p w:rsidR="000B70B7" w:rsidRPr="00D76EC6" w:rsidRDefault="000B70B7" w:rsidP="000B70B7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D76EC6">
        <w:rPr>
          <w:sz w:val="30"/>
          <w:szCs w:val="30"/>
        </w:rPr>
        <w:t>аправления возможного использования земельн</w:t>
      </w:r>
      <w:r w:rsidR="005D69F2">
        <w:rPr>
          <w:sz w:val="30"/>
          <w:szCs w:val="30"/>
        </w:rPr>
        <w:t>ого</w:t>
      </w:r>
      <w:r w:rsidRPr="00D76EC6">
        <w:rPr>
          <w:sz w:val="30"/>
          <w:szCs w:val="30"/>
        </w:rPr>
        <w:t xml:space="preserve"> участк</w:t>
      </w:r>
      <w:r w:rsidR="005D69F2">
        <w:rPr>
          <w:sz w:val="30"/>
          <w:szCs w:val="30"/>
        </w:rPr>
        <w:t>а</w:t>
      </w:r>
      <w:r>
        <w:rPr>
          <w:sz w:val="30"/>
          <w:szCs w:val="30"/>
        </w:rPr>
        <w:t xml:space="preserve"> в соответствии с Генеральным планом города Могилева (корректировка), утвержденным Указом Президента Республики Беларусь от 28 июля 2003 г. № 332,</w:t>
      </w:r>
      <w:r w:rsidRPr="00D76EC6">
        <w:rPr>
          <w:sz w:val="30"/>
          <w:szCs w:val="30"/>
        </w:rPr>
        <w:t xml:space="preserve"> – </w:t>
      </w:r>
      <w:r>
        <w:rPr>
          <w:sz w:val="30"/>
          <w:szCs w:val="30"/>
        </w:rPr>
        <w:t>для размещения промышленных предприятий всех видов собственности и отраслевой направленности производственной деятельности, коммунальн</w:t>
      </w:r>
      <w:r w:rsidR="00D67EB0">
        <w:rPr>
          <w:sz w:val="30"/>
          <w:szCs w:val="30"/>
        </w:rPr>
        <w:t xml:space="preserve">ых и складских </w:t>
      </w:r>
      <w:r>
        <w:rPr>
          <w:sz w:val="30"/>
          <w:szCs w:val="30"/>
        </w:rPr>
        <w:t>объектов;</w:t>
      </w:r>
    </w:p>
    <w:p w:rsidR="000B70B7" w:rsidRPr="009C3504" w:rsidRDefault="000B70B7" w:rsidP="000B70B7">
      <w:pPr>
        <w:pStyle w:val="a5"/>
        <w:tabs>
          <w:tab w:val="left" w:pos="180"/>
        </w:tabs>
        <w:suppressAutoHyphens/>
        <w:spacing w:line="240" w:lineRule="auto"/>
        <w:ind w:firstLine="709"/>
        <w:rPr>
          <w:snapToGrid w:val="0"/>
          <w:sz w:val="30"/>
          <w:szCs w:val="30"/>
        </w:rPr>
      </w:pPr>
      <w:r w:rsidRPr="0005252C">
        <w:rPr>
          <w:sz w:val="30"/>
          <w:szCs w:val="30"/>
        </w:rPr>
        <w:t>обязат</w:t>
      </w:r>
      <w:r>
        <w:rPr>
          <w:sz w:val="30"/>
          <w:szCs w:val="30"/>
        </w:rPr>
        <w:t>ельства</w:t>
      </w:r>
      <w:r w:rsidRPr="0005252C">
        <w:rPr>
          <w:sz w:val="30"/>
          <w:szCs w:val="30"/>
        </w:rPr>
        <w:t xml:space="preserve"> победителя (единственного участника) </w:t>
      </w:r>
      <w:r>
        <w:rPr>
          <w:sz w:val="30"/>
          <w:szCs w:val="30"/>
        </w:rPr>
        <w:t>торгов</w:t>
      </w:r>
      <w:r w:rsidRPr="0005252C">
        <w:rPr>
          <w:sz w:val="30"/>
          <w:szCs w:val="30"/>
        </w:rPr>
        <w:t xml:space="preserve"> в установленном порядке выполнить</w:t>
      </w:r>
      <w:r w:rsidRPr="0005252C">
        <w:rPr>
          <w:i/>
          <w:sz w:val="30"/>
          <w:szCs w:val="30"/>
        </w:rPr>
        <w:t xml:space="preserve"> </w:t>
      </w:r>
      <w:r w:rsidRPr="009C3504">
        <w:rPr>
          <w:sz w:val="30"/>
          <w:szCs w:val="30"/>
        </w:rPr>
        <w:t>следующие ус</w:t>
      </w:r>
      <w:r>
        <w:rPr>
          <w:sz w:val="30"/>
          <w:szCs w:val="30"/>
        </w:rPr>
        <w:t>ловия отвода земельн</w:t>
      </w:r>
      <w:r w:rsidR="00D67EB0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D67EB0">
        <w:rPr>
          <w:sz w:val="30"/>
          <w:szCs w:val="30"/>
        </w:rPr>
        <w:t>а</w:t>
      </w:r>
      <w:r w:rsidRPr="009C3504">
        <w:rPr>
          <w:sz w:val="30"/>
          <w:szCs w:val="30"/>
        </w:rPr>
        <w:t>:</w:t>
      </w:r>
      <w:r w:rsidRPr="009C3504">
        <w:rPr>
          <w:snapToGrid w:val="0"/>
          <w:sz w:val="30"/>
          <w:szCs w:val="30"/>
        </w:rPr>
        <w:t xml:space="preserve"> </w:t>
      </w:r>
      <w:r w:rsidRPr="009C3504">
        <w:rPr>
          <w:sz w:val="30"/>
          <w:szCs w:val="30"/>
        </w:rPr>
        <w:t>в течение</w:t>
      </w:r>
      <w:r w:rsidRPr="00D632F6">
        <w:rPr>
          <w:sz w:val="30"/>
          <w:szCs w:val="30"/>
        </w:rPr>
        <w:t xml:space="preserve"> двух месяцев со дня подписания договора аренды земельн</w:t>
      </w:r>
      <w:r>
        <w:rPr>
          <w:sz w:val="30"/>
          <w:szCs w:val="30"/>
        </w:rPr>
        <w:t>ого</w:t>
      </w:r>
      <w:r w:rsidRPr="00D632F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 xml:space="preserve"> с Могилевским городским исполнительным комитетом в установленном порядке обратиться за государственной </w:t>
      </w:r>
      <w:r w:rsidRPr="00D632F6">
        <w:rPr>
          <w:sz w:val="30"/>
          <w:szCs w:val="30"/>
        </w:rPr>
        <w:lastRenderedPageBreak/>
        <w:t xml:space="preserve">регистрацией прекращения прав, возникновения прав на земельный участок, ограничений (обременений) прав на </w:t>
      </w:r>
      <w:r>
        <w:rPr>
          <w:sz w:val="30"/>
          <w:szCs w:val="30"/>
        </w:rPr>
        <w:t>него</w:t>
      </w:r>
      <w:r w:rsidRPr="00D632F6">
        <w:rPr>
          <w:sz w:val="30"/>
          <w:szCs w:val="30"/>
        </w:rPr>
        <w:t>; обеспечить использование земельн</w:t>
      </w:r>
      <w:r>
        <w:rPr>
          <w:sz w:val="30"/>
          <w:szCs w:val="30"/>
        </w:rPr>
        <w:t>ого</w:t>
      </w:r>
      <w:r w:rsidRPr="00D632F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 xml:space="preserve"> в соответствии с целевым назначением; в случае изменения целевого назначения объект</w:t>
      </w:r>
      <w:r>
        <w:rPr>
          <w:sz w:val="30"/>
          <w:szCs w:val="30"/>
        </w:rPr>
        <w:t xml:space="preserve">а </w:t>
      </w:r>
      <w:r w:rsidRPr="00D632F6">
        <w:rPr>
          <w:sz w:val="30"/>
          <w:szCs w:val="30"/>
        </w:rPr>
        <w:t>недвижимого имущества получить в установленном порядке разрешение Могилевского городского исполнительного комитета на проведение проектно-изыскательских работ и разработать строительный проект на строительство (реконструкцию) объект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 xml:space="preserve"> в срок, не превышающий одного года; не позднее, чем за три месяца до истечения срока аренды земельн</w:t>
      </w:r>
      <w:r>
        <w:rPr>
          <w:sz w:val="30"/>
          <w:szCs w:val="30"/>
        </w:rPr>
        <w:t xml:space="preserve">ого </w:t>
      </w:r>
      <w:r w:rsidRPr="00D632F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>, обратиться в Могилевский городской исполнительный комитет за заключением договора аренды на новый срок либо по истечении срока аренды земельн</w:t>
      </w:r>
      <w:r>
        <w:rPr>
          <w:sz w:val="30"/>
          <w:szCs w:val="30"/>
        </w:rPr>
        <w:t>ого</w:t>
      </w:r>
      <w:r w:rsidRPr="00D632F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 xml:space="preserve"> возвратить (в состоянии, пригодном для дальнейшего использования) арендодателю, осуществить государственную регистрацию прекращения существования земельн</w:t>
      </w:r>
      <w:r>
        <w:rPr>
          <w:sz w:val="30"/>
          <w:szCs w:val="30"/>
        </w:rPr>
        <w:t>ого</w:t>
      </w:r>
      <w:r w:rsidRPr="00D632F6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632F6">
        <w:rPr>
          <w:sz w:val="30"/>
          <w:szCs w:val="30"/>
        </w:rPr>
        <w:t xml:space="preserve"> и права на </w:t>
      </w:r>
      <w:r w:rsidR="00D67EB0">
        <w:rPr>
          <w:sz w:val="30"/>
          <w:szCs w:val="30"/>
        </w:rPr>
        <w:t>него</w:t>
      </w:r>
      <w:r w:rsidRPr="00D632F6">
        <w:rPr>
          <w:sz w:val="30"/>
          <w:szCs w:val="30"/>
        </w:rPr>
        <w:t>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расширение, реконструкцию строений и сооружений в соответствии с законодательством Республики Беларусь.</w:t>
      </w:r>
    </w:p>
    <w:p w:rsidR="00205050" w:rsidRDefault="000B70B7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="00185054">
        <w:rPr>
          <w:sz w:val="30"/>
          <w:szCs w:val="30"/>
        </w:rPr>
        <w:t xml:space="preserve"> по лоту № 3 </w:t>
      </w:r>
      <w:r w:rsidR="002522AF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>
        <w:rPr>
          <w:snapToGrid w:val="0"/>
          <w:sz w:val="30"/>
          <w:szCs w:val="30"/>
        </w:rPr>
        <w:t>(</w:t>
      </w:r>
      <w:r w:rsidR="00185054">
        <w:rPr>
          <w:snapToGrid w:val="0"/>
          <w:sz w:val="30"/>
          <w:szCs w:val="30"/>
        </w:rPr>
        <w:t>для размещения объектов образования и (или) воспитания</w:t>
      </w:r>
      <w:r>
        <w:rPr>
          <w:snapToGrid w:val="0"/>
          <w:sz w:val="30"/>
          <w:szCs w:val="30"/>
        </w:rPr>
        <w:t>)</w:t>
      </w:r>
      <w:r w:rsidR="000E29F7">
        <w:rPr>
          <w:snapToGrid w:val="0"/>
          <w:sz w:val="30"/>
          <w:szCs w:val="30"/>
        </w:rPr>
        <w:t>, находящийся у продавца предмета электронных торгов лота № 3 в аренде сроком по 22 марта 2057 г.,</w:t>
      </w:r>
      <w:r>
        <w:rPr>
          <w:snapToGrid w:val="0"/>
          <w:sz w:val="30"/>
          <w:szCs w:val="30"/>
        </w:rPr>
        <w:t xml:space="preserve">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="002522AF" w:rsidRPr="003C3F5D">
        <w:rPr>
          <w:sz w:val="30"/>
          <w:szCs w:val="30"/>
        </w:rPr>
        <w:t xml:space="preserve">в аренду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со следующими условиями:</w:t>
      </w:r>
      <w:r>
        <w:rPr>
          <w:sz w:val="30"/>
          <w:szCs w:val="30"/>
        </w:rPr>
        <w:t xml:space="preserve"> </w:t>
      </w:r>
      <w:r w:rsidRPr="00C11EB6">
        <w:rPr>
          <w:sz w:val="30"/>
          <w:szCs w:val="30"/>
        </w:rPr>
        <w:t xml:space="preserve">обратиться за государственной регистрацией </w:t>
      </w:r>
      <w:r w:rsidR="00840396">
        <w:rPr>
          <w:sz w:val="30"/>
          <w:szCs w:val="30"/>
        </w:rPr>
        <w:t xml:space="preserve">договора аренды земельного участка, прекращения, </w:t>
      </w:r>
      <w:r>
        <w:rPr>
          <w:sz w:val="30"/>
          <w:szCs w:val="30"/>
        </w:rPr>
        <w:t>возникновения прав</w:t>
      </w:r>
      <w:r w:rsidR="00840396">
        <w:rPr>
          <w:sz w:val="30"/>
          <w:szCs w:val="30"/>
        </w:rPr>
        <w:t xml:space="preserve">, ограничений (обременений) прав </w:t>
      </w:r>
      <w:r>
        <w:rPr>
          <w:sz w:val="30"/>
          <w:szCs w:val="30"/>
        </w:rPr>
        <w:t>на земельный</w:t>
      </w:r>
      <w:r w:rsidRPr="00C11EB6">
        <w:rPr>
          <w:sz w:val="30"/>
          <w:szCs w:val="30"/>
        </w:rPr>
        <w:t xml:space="preserve"> участ</w:t>
      </w:r>
      <w:r>
        <w:rPr>
          <w:sz w:val="30"/>
          <w:szCs w:val="30"/>
        </w:rPr>
        <w:t xml:space="preserve">ок в течение двух месяцев со дня подписания </w:t>
      </w:r>
      <w:r w:rsidR="00840396">
        <w:rPr>
          <w:sz w:val="30"/>
          <w:szCs w:val="30"/>
        </w:rPr>
        <w:t>договора аренды земельного участка с Могилевским районным исполнительным комитетом (но не позднее трех месяцев с даты подписания протокола о результатах торгов)</w:t>
      </w:r>
      <w:r>
        <w:rPr>
          <w:sz w:val="30"/>
          <w:szCs w:val="30"/>
        </w:rPr>
        <w:t xml:space="preserve">; в случае изменения назначения объекта недвижимого имущества </w:t>
      </w:r>
      <w:r w:rsidR="00840396">
        <w:rPr>
          <w:sz w:val="30"/>
          <w:szCs w:val="30"/>
        </w:rPr>
        <w:t>в установленном порядке обратиться в Могилевский</w:t>
      </w:r>
      <w:r>
        <w:rPr>
          <w:sz w:val="30"/>
          <w:szCs w:val="30"/>
        </w:rPr>
        <w:t xml:space="preserve"> районн</w:t>
      </w:r>
      <w:r w:rsidR="00840396">
        <w:rPr>
          <w:sz w:val="30"/>
          <w:szCs w:val="30"/>
        </w:rPr>
        <w:t>ый</w:t>
      </w:r>
      <w:r>
        <w:rPr>
          <w:sz w:val="30"/>
          <w:szCs w:val="30"/>
        </w:rPr>
        <w:t xml:space="preserve"> исполнительн</w:t>
      </w:r>
      <w:r w:rsidR="00840396">
        <w:rPr>
          <w:sz w:val="30"/>
          <w:szCs w:val="30"/>
        </w:rPr>
        <w:t>ый</w:t>
      </w:r>
      <w:r>
        <w:rPr>
          <w:sz w:val="30"/>
          <w:szCs w:val="30"/>
        </w:rPr>
        <w:t xml:space="preserve"> комитет </w:t>
      </w:r>
      <w:r w:rsidR="00840396">
        <w:rPr>
          <w:sz w:val="30"/>
          <w:szCs w:val="30"/>
        </w:rPr>
        <w:t>за выдачей разрешительной документации (решение</w:t>
      </w:r>
      <w:r w:rsidR="00840396" w:rsidRPr="00840396">
        <w:rPr>
          <w:sz w:val="30"/>
          <w:szCs w:val="30"/>
        </w:rPr>
        <w:t xml:space="preserve"> </w:t>
      </w:r>
      <w:r w:rsidR="00840396">
        <w:rPr>
          <w:sz w:val="30"/>
          <w:szCs w:val="30"/>
        </w:rPr>
        <w:t xml:space="preserve">Могилевского районного исполнительного комитета о разрешении проведения </w:t>
      </w:r>
      <w:r>
        <w:rPr>
          <w:sz w:val="30"/>
          <w:szCs w:val="30"/>
        </w:rPr>
        <w:t>проектн</w:t>
      </w:r>
      <w:r w:rsidR="00840396">
        <w:rPr>
          <w:sz w:val="30"/>
          <w:szCs w:val="30"/>
        </w:rPr>
        <w:t xml:space="preserve">ых и </w:t>
      </w:r>
      <w:r>
        <w:rPr>
          <w:sz w:val="30"/>
          <w:szCs w:val="30"/>
        </w:rPr>
        <w:t>изыскательских работ</w:t>
      </w:r>
      <w:r w:rsidR="00840396">
        <w:rPr>
          <w:sz w:val="30"/>
          <w:szCs w:val="30"/>
        </w:rPr>
        <w:t>, строительства объекта, архитектурно-планировочное задание</w:t>
      </w:r>
      <w:r w:rsidR="006D5A70">
        <w:rPr>
          <w:sz w:val="30"/>
          <w:szCs w:val="30"/>
        </w:rPr>
        <w:t>, технические условия (при необходимости), технические требования (при необходимости);</w:t>
      </w:r>
      <w:r>
        <w:rPr>
          <w:sz w:val="30"/>
          <w:szCs w:val="30"/>
        </w:rPr>
        <w:t xml:space="preserve"> осуществ</w:t>
      </w:r>
      <w:r w:rsidR="005D69F2">
        <w:rPr>
          <w:sz w:val="30"/>
          <w:szCs w:val="30"/>
        </w:rPr>
        <w:t>ля</w:t>
      </w:r>
      <w:r w:rsidR="006D5A70">
        <w:rPr>
          <w:sz w:val="30"/>
          <w:szCs w:val="30"/>
        </w:rPr>
        <w:t>ть</w:t>
      </w:r>
      <w:r>
        <w:rPr>
          <w:sz w:val="30"/>
          <w:szCs w:val="30"/>
        </w:rPr>
        <w:t xml:space="preserve"> </w:t>
      </w:r>
      <w:r w:rsidR="006D5A70">
        <w:rPr>
          <w:sz w:val="30"/>
          <w:szCs w:val="30"/>
        </w:rPr>
        <w:t>строительство (</w:t>
      </w:r>
      <w:r>
        <w:rPr>
          <w:sz w:val="30"/>
          <w:szCs w:val="30"/>
        </w:rPr>
        <w:t>реко</w:t>
      </w:r>
      <w:r w:rsidR="006D5A70">
        <w:rPr>
          <w:sz w:val="30"/>
          <w:szCs w:val="30"/>
        </w:rPr>
        <w:t xml:space="preserve">нструкцию) объекта </w:t>
      </w:r>
      <w:r>
        <w:rPr>
          <w:sz w:val="30"/>
          <w:szCs w:val="30"/>
        </w:rPr>
        <w:t>в соответствии с законодательством Республики Беларусь</w:t>
      </w:r>
      <w:r w:rsidR="006D5A70">
        <w:rPr>
          <w:sz w:val="30"/>
          <w:szCs w:val="30"/>
        </w:rPr>
        <w:t xml:space="preserve"> в сроки, определенные проектно-сметной документацией</w:t>
      </w:r>
      <w:r>
        <w:rPr>
          <w:sz w:val="30"/>
          <w:szCs w:val="30"/>
        </w:rPr>
        <w:t xml:space="preserve">; </w:t>
      </w:r>
      <w:r w:rsidR="006D5A70">
        <w:rPr>
          <w:sz w:val="30"/>
          <w:szCs w:val="30"/>
        </w:rPr>
        <w:t xml:space="preserve">обеспечить использование земельного участка в соответствии с целевым назначением и условиями его предоставления; до </w:t>
      </w:r>
      <w:r w:rsidR="006D5A70" w:rsidRPr="00C11EB6">
        <w:rPr>
          <w:sz w:val="30"/>
          <w:szCs w:val="30"/>
        </w:rPr>
        <w:t>окончани</w:t>
      </w:r>
      <w:r w:rsidR="006D5A70">
        <w:rPr>
          <w:sz w:val="30"/>
          <w:szCs w:val="30"/>
        </w:rPr>
        <w:t>я</w:t>
      </w:r>
      <w:r w:rsidR="006D5A70" w:rsidRPr="00C11EB6">
        <w:rPr>
          <w:sz w:val="30"/>
          <w:szCs w:val="30"/>
        </w:rPr>
        <w:t xml:space="preserve"> срока аренды земельного </w:t>
      </w:r>
      <w:r w:rsidR="006D5A70">
        <w:rPr>
          <w:sz w:val="30"/>
          <w:szCs w:val="30"/>
        </w:rPr>
        <w:t xml:space="preserve">участка в установленном порядке совместно с Могилевским </w:t>
      </w:r>
      <w:r w:rsidR="006D5A70">
        <w:rPr>
          <w:snapToGrid w:val="0"/>
          <w:sz w:val="30"/>
          <w:szCs w:val="30"/>
        </w:rPr>
        <w:lastRenderedPageBreak/>
        <w:t>районным</w:t>
      </w:r>
      <w:r w:rsidR="006D5A70" w:rsidRPr="00C11EB6">
        <w:rPr>
          <w:snapToGrid w:val="0"/>
          <w:sz w:val="30"/>
          <w:szCs w:val="30"/>
        </w:rPr>
        <w:t xml:space="preserve"> исполнительны</w:t>
      </w:r>
      <w:r w:rsidR="006D5A70">
        <w:rPr>
          <w:snapToGrid w:val="0"/>
          <w:sz w:val="30"/>
          <w:szCs w:val="30"/>
        </w:rPr>
        <w:t>м</w:t>
      </w:r>
      <w:r w:rsidR="006D5A70" w:rsidRPr="00C11EB6">
        <w:rPr>
          <w:snapToGrid w:val="0"/>
          <w:sz w:val="30"/>
          <w:szCs w:val="30"/>
        </w:rPr>
        <w:t xml:space="preserve"> комитет</w:t>
      </w:r>
      <w:r w:rsidR="006D5A70">
        <w:rPr>
          <w:snapToGrid w:val="0"/>
          <w:sz w:val="30"/>
          <w:szCs w:val="30"/>
        </w:rPr>
        <w:t>ом решить</w:t>
      </w:r>
      <w:r w:rsidR="006D5A70" w:rsidRPr="00C11EB6">
        <w:rPr>
          <w:snapToGrid w:val="0"/>
          <w:sz w:val="30"/>
          <w:szCs w:val="30"/>
        </w:rPr>
        <w:t xml:space="preserve"> вопрос </w:t>
      </w:r>
      <w:r w:rsidR="006D5A70">
        <w:rPr>
          <w:snapToGrid w:val="0"/>
          <w:sz w:val="30"/>
          <w:szCs w:val="30"/>
        </w:rPr>
        <w:t xml:space="preserve">о его </w:t>
      </w:r>
      <w:r w:rsidR="006D5A70" w:rsidRPr="00C11EB6">
        <w:rPr>
          <w:snapToGrid w:val="0"/>
          <w:sz w:val="30"/>
          <w:szCs w:val="30"/>
        </w:rPr>
        <w:t>дальнейше</w:t>
      </w:r>
      <w:r w:rsidR="006D5A70">
        <w:rPr>
          <w:snapToGrid w:val="0"/>
          <w:sz w:val="30"/>
          <w:szCs w:val="30"/>
        </w:rPr>
        <w:t xml:space="preserve">м </w:t>
      </w:r>
      <w:r w:rsidR="006D5A70" w:rsidRPr="00C11EB6">
        <w:rPr>
          <w:snapToGrid w:val="0"/>
          <w:sz w:val="30"/>
          <w:szCs w:val="30"/>
        </w:rPr>
        <w:t>использовани</w:t>
      </w:r>
      <w:r w:rsidR="006D5A70">
        <w:rPr>
          <w:snapToGrid w:val="0"/>
          <w:sz w:val="30"/>
          <w:szCs w:val="30"/>
        </w:rPr>
        <w:t xml:space="preserve">и; в случае заключения договора аренды на новый срок письменно уведомить о продлении срока аренды </w:t>
      </w:r>
      <w:r w:rsidR="006D5A70">
        <w:rPr>
          <w:sz w:val="30"/>
          <w:szCs w:val="30"/>
        </w:rPr>
        <w:t>Могилевский районный исполнительный комитет 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</w:t>
      </w:r>
      <w:r w:rsidRPr="00C11EB6">
        <w:rPr>
          <w:sz w:val="30"/>
          <w:szCs w:val="30"/>
        </w:rPr>
        <w:t>.</w:t>
      </w:r>
    </w:p>
    <w:p w:rsidR="000B70B7" w:rsidRPr="00C11EB6" w:rsidRDefault="00840396" w:rsidP="00840396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Возможное целевое назначение земельного участка по лоту № 3 в части его дальнейшего использования – не противоречащее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CE2D23" w:rsidRPr="00F40AA0" w:rsidRDefault="00CE2D23" w:rsidP="00A64517">
      <w:pPr>
        <w:pStyle w:val="af8"/>
        <w:tabs>
          <w:tab w:val="left" w:pos="709"/>
        </w:tabs>
        <w:ind w:left="0" w:right="-29" w:firstLine="709"/>
        <w:jc w:val="both"/>
        <w:rPr>
          <w:bCs/>
          <w:sz w:val="30"/>
          <w:szCs w:val="30"/>
        </w:rPr>
      </w:pPr>
      <w:r w:rsidRPr="00DB1199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 w:rsidRPr="00DB1199">
        <w:rPr>
          <w:sz w:val="30"/>
          <w:szCs w:val="30"/>
        </w:rPr>
        <w:t xml:space="preserve"> </w:t>
      </w:r>
      <w:r w:rsidR="00DB1199" w:rsidRPr="00DB1199">
        <w:rPr>
          <w:sz w:val="30"/>
          <w:szCs w:val="30"/>
        </w:rPr>
        <w:t xml:space="preserve">по каждому лоту </w:t>
      </w:r>
      <w:r w:rsidRPr="00DB1199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DB1199">
        <w:rPr>
          <w:sz w:val="30"/>
          <w:szCs w:val="30"/>
        </w:rPr>
        <w:br/>
      </w:r>
      <w:r w:rsidRPr="00DB1199">
        <w:rPr>
          <w:sz w:val="30"/>
          <w:szCs w:val="30"/>
        </w:rPr>
        <w:t xml:space="preserve">№ BY60AKBB30120000066940000000 ОАО «АСБ </w:t>
      </w:r>
      <w:proofErr w:type="spellStart"/>
      <w:r w:rsidRPr="00DB1199">
        <w:rPr>
          <w:sz w:val="30"/>
          <w:szCs w:val="30"/>
        </w:rPr>
        <w:t>Беларусбанк</w:t>
      </w:r>
      <w:proofErr w:type="spellEnd"/>
      <w:r w:rsidRPr="00DB1199">
        <w:rPr>
          <w:sz w:val="30"/>
          <w:szCs w:val="30"/>
        </w:rPr>
        <w:t>» г. Минск, БИК AKBBBY2X, УНП 190542056, получатель платежа –</w:t>
      </w:r>
      <w:r w:rsidRPr="008F6B3F">
        <w:rPr>
          <w:sz w:val="30"/>
          <w:szCs w:val="30"/>
        </w:rPr>
        <w:t xml:space="preserve"> ОАО</w:t>
      </w:r>
      <w:r w:rsidRPr="00F40AA0">
        <w:rPr>
          <w:sz w:val="30"/>
          <w:szCs w:val="30"/>
        </w:rPr>
        <w:t xml:space="preserve"> «Белорусская универсальная товарная биржа»»; назначение платежа: внесение суммы задатка для участия в торгах</w:t>
      </w:r>
      <w:r w:rsidR="00DB1199">
        <w:rPr>
          <w:sz w:val="30"/>
          <w:szCs w:val="30"/>
        </w:rPr>
        <w:t xml:space="preserve"> </w:t>
      </w:r>
      <w:r w:rsidR="00DB1199" w:rsidRPr="0051009F">
        <w:rPr>
          <w:sz w:val="30"/>
          <w:szCs w:val="30"/>
        </w:rPr>
        <w:t xml:space="preserve"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</w:t>
      </w:r>
      <w:r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4A6338">
        <w:rPr>
          <w:b/>
          <w:bCs/>
          <w:sz w:val="30"/>
          <w:szCs w:val="30"/>
        </w:rPr>
        <w:t>4</w:t>
      </w:r>
      <w:r w:rsidR="00016BE9">
        <w:rPr>
          <w:b/>
          <w:bCs/>
          <w:sz w:val="30"/>
          <w:szCs w:val="30"/>
        </w:rPr>
        <w:t xml:space="preserve"> </w:t>
      </w:r>
      <w:r w:rsidR="00DB1199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A4198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FB60CC" w:rsidRDefault="00FB60CC" w:rsidP="00016BE9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 w:rsidR="00111984"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 w:rsidR="00111984">
        <w:rPr>
          <w:sz w:val="30"/>
          <w:szCs w:val="30"/>
        </w:rPr>
        <w:t xml:space="preserve">протокола </w:t>
      </w:r>
      <w:r>
        <w:rPr>
          <w:sz w:val="30"/>
          <w:szCs w:val="30"/>
        </w:rPr>
        <w:t xml:space="preserve">электронных торгов </w:t>
      </w:r>
      <w:r w:rsidRPr="00663901">
        <w:rPr>
          <w:sz w:val="30"/>
          <w:szCs w:val="30"/>
        </w:rPr>
        <w:t xml:space="preserve">обязан </w:t>
      </w:r>
      <w:r w:rsidR="00EE05F9">
        <w:rPr>
          <w:sz w:val="30"/>
          <w:szCs w:val="30"/>
        </w:rPr>
        <w:t xml:space="preserve">по лоту № </w:t>
      </w:r>
      <w:r w:rsidR="000E29F7">
        <w:rPr>
          <w:sz w:val="30"/>
          <w:szCs w:val="30"/>
        </w:rPr>
        <w:t>2</w:t>
      </w:r>
      <w:r w:rsidR="00EE05F9">
        <w:rPr>
          <w:sz w:val="30"/>
          <w:szCs w:val="30"/>
        </w:rPr>
        <w:t xml:space="preserve"> – </w:t>
      </w:r>
      <w:r>
        <w:rPr>
          <w:sz w:val="30"/>
          <w:szCs w:val="30"/>
        </w:rPr>
        <w:t>внести плату за право аренды земельн</w:t>
      </w:r>
      <w:r w:rsidR="000E29F7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0E29F7">
        <w:rPr>
          <w:sz w:val="30"/>
          <w:szCs w:val="30"/>
        </w:rPr>
        <w:t>а</w:t>
      </w:r>
      <w:r>
        <w:rPr>
          <w:sz w:val="30"/>
          <w:szCs w:val="30"/>
        </w:rPr>
        <w:t xml:space="preserve"> (часть </w:t>
      </w:r>
      <w:r w:rsidR="000E29F7">
        <w:rPr>
          <w:sz w:val="30"/>
          <w:szCs w:val="30"/>
        </w:rPr>
        <w:br/>
      </w:r>
      <w:r>
        <w:rPr>
          <w:sz w:val="30"/>
          <w:szCs w:val="30"/>
        </w:rPr>
        <w:t xml:space="preserve">платы – в случае предоставления рассрочки ее внесения), </w:t>
      </w:r>
      <w:r w:rsidR="00EE05F9">
        <w:rPr>
          <w:sz w:val="30"/>
          <w:szCs w:val="30"/>
        </w:rPr>
        <w:t xml:space="preserve">по лотам №№ 2 и 3 –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</w:t>
      </w:r>
      <w:r w:rsidR="004A7A42">
        <w:rPr>
          <w:sz w:val="30"/>
          <w:szCs w:val="30"/>
        </w:rPr>
        <w:t xml:space="preserve">включая расходы, связанные с изготовлением и предоставлением участникам документации, необходимой для его проведения, </w:t>
      </w:r>
      <w:r w:rsidR="00184DC9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2A01FD" w:rsidRDefault="00184DC9" w:rsidP="00184DC9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lastRenderedPageBreak/>
        <w:t xml:space="preserve">Срок подписания договоров купли-продажи имущества и аренды земельных участков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B94BCF" w:rsidRDefault="00B94BCF" w:rsidP="00C7772B">
      <w:pPr>
        <w:ind w:left="10206"/>
        <w:rPr>
          <w:rStyle w:val="af4"/>
          <w:b/>
          <w:sz w:val="30"/>
          <w:szCs w:val="30"/>
        </w:rPr>
      </w:pPr>
      <w:bookmarkStart w:id="0" w:name="_GoBack"/>
      <w:bookmarkEnd w:id="0"/>
    </w:p>
    <w:sectPr w:rsidR="00B94BC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7772B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6C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BE9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71C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CD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0D33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117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70B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D41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49A"/>
    <w:rsid w:val="000D7912"/>
    <w:rsid w:val="000D7CD3"/>
    <w:rsid w:val="000E00C2"/>
    <w:rsid w:val="000E03E9"/>
    <w:rsid w:val="000E225A"/>
    <w:rsid w:val="000E2789"/>
    <w:rsid w:val="000E29F7"/>
    <w:rsid w:val="000E3016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0BF"/>
    <w:rsid w:val="000E73B2"/>
    <w:rsid w:val="000E797A"/>
    <w:rsid w:val="000E7ABF"/>
    <w:rsid w:val="000E7ECD"/>
    <w:rsid w:val="000F1CF5"/>
    <w:rsid w:val="000F24EE"/>
    <w:rsid w:val="000F2586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84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320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0C7D"/>
    <w:rsid w:val="00181837"/>
    <w:rsid w:val="00181F95"/>
    <w:rsid w:val="001835B3"/>
    <w:rsid w:val="0018385D"/>
    <w:rsid w:val="00183EA1"/>
    <w:rsid w:val="00184A67"/>
    <w:rsid w:val="00184BFC"/>
    <w:rsid w:val="00184CD8"/>
    <w:rsid w:val="00184DC9"/>
    <w:rsid w:val="00185054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22E"/>
    <w:rsid w:val="001A2732"/>
    <w:rsid w:val="001A28D4"/>
    <w:rsid w:val="001A389B"/>
    <w:rsid w:val="001A3F31"/>
    <w:rsid w:val="001A3F41"/>
    <w:rsid w:val="001A457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FFA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0E42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0D28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50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C06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3BCD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7D5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2AF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E8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55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DC0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6A3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517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BC4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17DFB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6D9C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3D3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2D96"/>
    <w:rsid w:val="00463547"/>
    <w:rsid w:val="00463923"/>
    <w:rsid w:val="00463BB8"/>
    <w:rsid w:val="00463D62"/>
    <w:rsid w:val="004659B7"/>
    <w:rsid w:val="00465CBF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AF7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338"/>
    <w:rsid w:val="004A6637"/>
    <w:rsid w:val="004A6D5A"/>
    <w:rsid w:val="004A6F1B"/>
    <w:rsid w:val="004A6FA0"/>
    <w:rsid w:val="004A7085"/>
    <w:rsid w:val="004A7260"/>
    <w:rsid w:val="004A77E3"/>
    <w:rsid w:val="004A7A42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4D09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62F"/>
    <w:rsid w:val="004E1783"/>
    <w:rsid w:val="004E1A90"/>
    <w:rsid w:val="004E1B57"/>
    <w:rsid w:val="004E1C3D"/>
    <w:rsid w:val="004E2057"/>
    <w:rsid w:val="004E2ABD"/>
    <w:rsid w:val="004E2C50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1F"/>
    <w:rsid w:val="005032C1"/>
    <w:rsid w:val="00503794"/>
    <w:rsid w:val="005037EC"/>
    <w:rsid w:val="0050384B"/>
    <w:rsid w:val="00503BC7"/>
    <w:rsid w:val="00504A80"/>
    <w:rsid w:val="00504C86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2F47"/>
    <w:rsid w:val="0053346E"/>
    <w:rsid w:val="00533C06"/>
    <w:rsid w:val="0053420B"/>
    <w:rsid w:val="00534598"/>
    <w:rsid w:val="00534A05"/>
    <w:rsid w:val="0053525B"/>
    <w:rsid w:val="0053540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D1B"/>
    <w:rsid w:val="00577C5D"/>
    <w:rsid w:val="005802A9"/>
    <w:rsid w:val="005819EC"/>
    <w:rsid w:val="005821F3"/>
    <w:rsid w:val="00584237"/>
    <w:rsid w:val="0058461E"/>
    <w:rsid w:val="005850F2"/>
    <w:rsid w:val="00585622"/>
    <w:rsid w:val="0058562D"/>
    <w:rsid w:val="0058580C"/>
    <w:rsid w:val="00585A15"/>
    <w:rsid w:val="00585BB8"/>
    <w:rsid w:val="00586C20"/>
    <w:rsid w:val="00586EBB"/>
    <w:rsid w:val="005870C9"/>
    <w:rsid w:val="005877FD"/>
    <w:rsid w:val="00587A7B"/>
    <w:rsid w:val="0059037E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97A08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744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E18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9F2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18B"/>
    <w:rsid w:val="005F02CA"/>
    <w:rsid w:val="005F0B1A"/>
    <w:rsid w:val="005F1019"/>
    <w:rsid w:val="005F131C"/>
    <w:rsid w:val="005F145B"/>
    <w:rsid w:val="005F16D4"/>
    <w:rsid w:val="005F199A"/>
    <w:rsid w:val="005F1B8E"/>
    <w:rsid w:val="005F24BF"/>
    <w:rsid w:val="005F2984"/>
    <w:rsid w:val="005F29D8"/>
    <w:rsid w:val="005F30CB"/>
    <w:rsid w:val="005F337C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3E8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C"/>
    <w:rsid w:val="0062511E"/>
    <w:rsid w:val="00625D18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6FBC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64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5A7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2C6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5CCB"/>
    <w:rsid w:val="00746960"/>
    <w:rsid w:val="00746D4C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245A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2DD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4ECD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4E43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5CE5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4E20"/>
    <w:rsid w:val="007E5043"/>
    <w:rsid w:val="007E62F0"/>
    <w:rsid w:val="007E67D0"/>
    <w:rsid w:val="007E6F77"/>
    <w:rsid w:val="007E701B"/>
    <w:rsid w:val="007E721C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396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AB0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14A"/>
    <w:rsid w:val="00862688"/>
    <w:rsid w:val="0086272E"/>
    <w:rsid w:val="00863075"/>
    <w:rsid w:val="008637A4"/>
    <w:rsid w:val="00863B8D"/>
    <w:rsid w:val="00863C77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0E5"/>
    <w:rsid w:val="00872D39"/>
    <w:rsid w:val="00872E88"/>
    <w:rsid w:val="00873618"/>
    <w:rsid w:val="00873D42"/>
    <w:rsid w:val="00873E60"/>
    <w:rsid w:val="008747C0"/>
    <w:rsid w:val="008749A6"/>
    <w:rsid w:val="00874AF4"/>
    <w:rsid w:val="00874CA3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2E7"/>
    <w:rsid w:val="0089140B"/>
    <w:rsid w:val="00892EC0"/>
    <w:rsid w:val="00894C8D"/>
    <w:rsid w:val="00896234"/>
    <w:rsid w:val="0089642B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B7C"/>
    <w:rsid w:val="008D3C4A"/>
    <w:rsid w:val="008D5F31"/>
    <w:rsid w:val="008D62F2"/>
    <w:rsid w:val="008D6565"/>
    <w:rsid w:val="008D70EC"/>
    <w:rsid w:val="008D71B6"/>
    <w:rsid w:val="008D7795"/>
    <w:rsid w:val="008D7E8F"/>
    <w:rsid w:val="008D7F75"/>
    <w:rsid w:val="008E0125"/>
    <w:rsid w:val="008E0A66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B3F"/>
    <w:rsid w:val="008F75A0"/>
    <w:rsid w:val="008F7FD3"/>
    <w:rsid w:val="00903328"/>
    <w:rsid w:val="009037C6"/>
    <w:rsid w:val="0090464B"/>
    <w:rsid w:val="0090520F"/>
    <w:rsid w:val="00905422"/>
    <w:rsid w:val="00905592"/>
    <w:rsid w:val="00905B42"/>
    <w:rsid w:val="00906D2F"/>
    <w:rsid w:val="00907C25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3DDA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9D5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1E4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8A0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504"/>
    <w:rsid w:val="009C3FDF"/>
    <w:rsid w:val="009C43B1"/>
    <w:rsid w:val="009C5BA0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B84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19A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45A"/>
    <w:rsid w:val="00A04C6F"/>
    <w:rsid w:val="00A04D1A"/>
    <w:rsid w:val="00A05545"/>
    <w:rsid w:val="00A05570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98E"/>
    <w:rsid w:val="00A41D3C"/>
    <w:rsid w:val="00A425E0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2EF5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6FC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17D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15D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0D0E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1A5"/>
    <w:rsid w:val="00B1437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DE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4B04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2AD4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0B2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17F"/>
    <w:rsid w:val="00C00447"/>
    <w:rsid w:val="00C006AA"/>
    <w:rsid w:val="00C00B26"/>
    <w:rsid w:val="00C011A8"/>
    <w:rsid w:val="00C015CE"/>
    <w:rsid w:val="00C01865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B3D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8DC"/>
    <w:rsid w:val="00C51984"/>
    <w:rsid w:val="00C522C0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67859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72B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33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1552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5F1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B5F"/>
    <w:rsid w:val="00D41B55"/>
    <w:rsid w:val="00D42010"/>
    <w:rsid w:val="00D42260"/>
    <w:rsid w:val="00D43F8E"/>
    <w:rsid w:val="00D44088"/>
    <w:rsid w:val="00D440F4"/>
    <w:rsid w:val="00D44736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19B"/>
    <w:rsid w:val="00D51A93"/>
    <w:rsid w:val="00D51B3F"/>
    <w:rsid w:val="00D52937"/>
    <w:rsid w:val="00D52B6A"/>
    <w:rsid w:val="00D535C6"/>
    <w:rsid w:val="00D53AA0"/>
    <w:rsid w:val="00D551A3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67EB0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697F"/>
    <w:rsid w:val="00D76EC6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6FF1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199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32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C1"/>
    <w:rsid w:val="00DF71F1"/>
    <w:rsid w:val="00DF77AC"/>
    <w:rsid w:val="00DF7D65"/>
    <w:rsid w:val="00E00F6B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58FB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3FC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7E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D37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717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1E9E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639"/>
    <w:rsid w:val="00ED5B35"/>
    <w:rsid w:val="00ED63D5"/>
    <w:rsid w:val="00ED689D"/>
    <w:rsid w:val="00ED68E4"/>
    <w:rsid w:val="00ED731C"/>
    <w:rsid w:val="00ED792E"/>
    <w:rsid w:val="00ED7A10"/>
    <w:rsid w:val="00ED7E4E"/>
    <w:rsid w:val="00EE05F9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5870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96A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295B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7E1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3DA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069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0CC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2F5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newncpi0">
    <w:name w:val="newncpi0"/>
    <w:basedOn w:val="a"/>
    <w:rsid w:val="002B245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26990-1B2A-4315-B2DF-32E2AE72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2025-10-03T11:49:00Z</cp:lastPrinted>
  <dcterms:created xsi:type="dcterms:W3CDTF">2025-10-08T08:08:00Z</dcterms:created>
  <dcterms:modified xsi:type="dcterms:W3CDTF">2025-10-08T08:09:00Z</dcterms:modified>
</cp:coreProperties>
</file>